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156"/>
        <w:gridCol w:w="1004"/>
        <w:gridCol w:w="888"/>
        <w:gridCol w:w="244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四川华电杂谷脑水电开发有限责任公司薛城电站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四川省阿坝州理县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李老师18011303949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35150" cy="1381760"/>
                  <wp:effectExtent l="0" t="0" r="6350" b="2540"/>
                  <wp:docPr id="7" name="图片 7" descr="e1267857cac391060b17d37193057b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1267857cac391060b17d37193057b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6985" b="8890"/>
                  <wp:docPr id="6" name="图片 6" descr="b9d0cb112246ad3e79efe20651dd14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9d0cb112246ad3e79efe20651dd14e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215B0121"/>
    <w:rsid w:val="21D06385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8C83236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2025-10-04T14:51:31Z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FE99D22838A14D94BCF6E6D95D71E2F2_13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