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tabs>
          <w:tab w:val="center" w:pos="4212"/>
          <w:tab w:val="left" w:pos="708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left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  <w:t>职业卫生技术报告公示信息</w:t>
      </w: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269"/>
        <w:gridCol w:w="1002"/>
        <w:gridCol w:w="893"/>
        <w:gridCol w:w="233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彭州市众益恒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包装有限公司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四川省成都市彭州市敖平镇紫音泉村14组14号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肖总13880071333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2025.7.31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肖总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肖总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2025.9.29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5" name="图片 5" descr="f7e676f3ec3d39dd39195ac3084dcb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7e676f3ec3d39dd39195ac3084dcb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900" cy="2490470"/>
                  <wp:effectExtent l="0" t="0" r="0" b="5080"/>
                  <wp:docPr id="6" name="图片 6" descr="033b5e05fe4c4fb1dfcd7f0b39661a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33b5e05fe4c4fb1dfcd7f0b39661a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49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1A7360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251635C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FB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2025-11-04T07:22:26Z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986597ADAAAB4CDAB974AA7E28B37303_13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